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FE91" w14:textId="77777777" w:rsidR="00270663" w:rsidRDefault="005F5726"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Policy Clarification</w:t>
      </w:r>
      <w:r w:rsidR="004C0831" w:rsidRPr="003C63D0">
        <w:rPr>
          <w:rFonts w:ascii="Arial" w:eastAsia="Times New Roman" w:hAnsi="Arial" w:cs="Arial"/>
          <w:b/>
          <w:bCs/>
          <w:sz w:val="36"/>
          <w:szCs w:val="36"/>
        </w:rPr>
        <w:t xml:space="preserve"> </w:t>
      </w:r>
    </w:p>
    <w:p w14:paraId="6BC608C8" w14:textId="77777777" w:rsidR="00270663" w:rsidRDefault="00270663"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Cash Assistance – All – PCA-21865-140</w:t>
      </w:r>
    </w:p>
    <w:p w14:paraId="7DA7017D" w14:textId="77777777" w:rsidR="00270663" w:rsidRDefault="00270663"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Medical Assistance – All – PMA-21865-340</w:t>
      </w:r>
    </w:p>
    <w:p w14:paraId="3E6AB579" w14:textId="77777777" w:rsidR="00270663" w:rsidRDefault="00270663"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Long-Term Care – All – PMN-21865-440</w:t>
      </w:r>
    </w:p>
    <w:p w14:paraId="232DAC59" w14:textId="7FC01A79" w:rsidR="00270663" w:rsidRDefault="00270663"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Supplemental Nutrition Assistance Program – All</w:t>
      </w:r>
    </w:p>
    <w:p w14:paraId="5DD6664C" w14:textId="77777777" w:rsidR="00270663" w:rsidRDefault="00270663"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PFS-21865-540</w:t>
      </w:r>
    </w:p>
    <w:p w14:paraId="5C21C408" w14:textId="06091F24" w:rsidR="00270663" w:rsidRDefault="00270663"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Children’s Health Insurance Program – All</w:t>
      </w:r>
    </w:p>
    <w:p w14:paraId="53E553FB" w14:textId="2CD47C6A" w:rsidR="005F5726" w:rsidRDefault="00270663"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PCH-21865-1106</w:t>
      </w:r>
      <w:r w:rsidR="004C0831" w:rsidRPr="003C63D0">
        <w:rPr>
          <w:rFonts w:ascii="Arial" w:eastAsia="Times New Roman" w:hAnsi="Arial" w:cs="Arial"/>
          <w:b/>
          <w:bCs/>
          <w:sz w:val="36"/>
          <w:szCs w:val="36"/>
        </w:rPr>
        <w:br/>
      </w:r>
    </w:p>
    <w:p w14:paraId="2BF0B060" w14:textId="77777777" w:rsidR="009347A0" w:rsidRDefault="009347A0" w:rsidP="004C0831">
      <w:pPr>
        <w:spacing w:before="100" w:beforeAutospacing="1" w:after="100" w:afterAutospacing="1" w:line="240" w:lineRule="auto"/>
        <w:jc w:val="center"/>
        <w:outlineLvl w:val="1"/>
        <w:rPr>
          <w:rFonts w:ascii="Arial" w:eastAsia="Times New Roman" w:hAnsi="Arial" w:cs="Arial"/>
          <w:b/>
          <w:bCs/>
          <w:sz w:val="36"/>
          <w:szCs w:val="36"/>
        </w:rPr>
      </w:pPr>
    </w:p>
    <w:p w14:paraId="498B86ED" w14:textId="06CB568B" w:rsidR="007358AF" w:rsidRPr="003A1705" w:rsidRDefault="007358AF" w:rsidP="000F6C02">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Submitted:</w:t>
      </w:r>
      <w:r w:rsidR="000F6C02">
        <w:rPr>
          <w:rFonts w:ascii="Arial" w:eastAsia="Times New Roman" w:hAnsi="Arial" w:cs="Arial"/>
          <w:b/>
          <w:bCs/>
          <w:sz w:val="24"/>
          <w:szCs w:val="24"/>
        </w:rPr>
        <w:tab/>
      </w:r>
      <w:r w:rsidR="002F1B8E">
        <w:rPr>
          <w:rFonts w:ascii="Arial" w:eastAsia="Times New Roman" w:hAnsi="Arial" w:cs="Arial"/>
          <w:b/>
          <w:bCs/>
          <w:sz w:val="24"/>
          <w:szCs w:val="24"/>
        </w:rPr>
        <w:t xml:space="preserve">July </w:t>
      </w:r>
      <w:r w:rsidR="000C48BD">
        <w:rPr>
          <w:rFonts w:ascii="Arial" w:eastAsia="Times New Roman" w:hAnsi="Arial" w:cs="Arial"/>
          <w:b/>
          <w:bCs/>
          <w:sz w:val="24"/>
          <w:szCs w:val="24"/>
        </w:rPr>
        <w:t xml:space="preserve">1, </w:t>
      </w:r>
      <w:r w:rsidR="002F1B8E">
        <w:rPr>
          <w:rFonts w:ascii="Arial" w:eastAsia="Times New Roman" w:hAnsi="Arial" w:cs="Arial"/>
          <w:b/>
          <w:bCs/>
          <w:sz w:val="24"/>
          <w:szCs w:val="24"/>
        </w:rPr>
        <w:t>2024</w:t>
      </w:r>
      <w:r w:rsidRPr="003A1705">
        <w:rPr>
          <w:rFonts w:ascii="Arial" w:eastAsia="Times New Roman" w:hAnsi="Arial" w:cs="Arial"/>
          <w:b/>
          <w:bCs/>
          <w:sz w:val="24"/>
          <w:szCs w:val="24"/>
        </w:rPr>
        <w:tab/>
      </w:r>
      <w:r w:rsidRPr="003A1705">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3A1705">
        <w:rPr>
          <w:rFonts w:ascii="Arial" w:eastAsia="Times New Roman" w:hAnsi="Arial" w:cs="Arial"/>
          <w:b/>
          <w:bCs/>
          <w:sz w:val="24"/>
          <w:szCs w:val="24"/>
        </w:rPr>
        <w:t xml:space="preserve">Agency:  </w:t>
      </w:r>
      <w:r w:rsidR="00335C06">
        <w:rPr>
          <w:rFonts w:ascii="Arial" w:eastAsia="Times New Roman" w:hAnsi="Arial" w:cs="Arial"/>
          <w:b/>
          <w:bCs/>
          <w:sz w:val="24"/>
          <w:szCs w:val="24"/>
        </w:rPr>
        <w:t>CAOs</w:t>
      </w:r>
    </w:p>
    <w:p w14:paraId="08C41874" w14:textId="77777777" w:rsidR="007358AF" w:rsidRPr="003A1705" w:rsidRDefault="007358AF" w:rsidP="007358AF">
      <w:pPr>
        <w:spacing w:after="0" w:line="240" w:lineRule="auto"/>
        <w:outlineLvl w:val="1"/>
        <w:rPr>
          <w:rFonts w:ascii="Arial" w:eastAsia="Times New Roman" w:hAnsi="Arial" w:cs="Arial"/>
          <w:b/>
          <w:bCs/>
          <w:sz w:val="24"/>
          <w:szCs w:val="24"/>
        </w:rPr>
      </w:pPr>
    </w:p>
    <w:p w14:paraId="65EAD243" w14:textId="5FA593A9" w:rsidR="007358AF" w:rsidRDefault="007358AF" w:rsidP="00335C06">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Subject</w:t>
      </w:r>
      <w:r>
        <w:rPr>
          <w:rFonts w:ascii="Arial" w:eastAsia="Times New Roman" w:hAnsi="Arial" w:cs="Arial"/>
          <w:b/>
          <w:bCs/>
          <w:sz w:val="24"/>
          <w:szCs w:val="24"/>
        </w:rPr>
        <w:t>:</w:t>
      </w:r>
      <w:r w:rsidR="00335C06">
        <w:rPr>
          <w:rFonts w:ascii="Arial" w:eastAsia="Times New Roman" w:hAnsi="Arial" w:cs="Arial"/>
          <w:b/>
          <w:bCs/>
          <w:sz w:val="24"/>
          <w:szCs w:val="24"/>
        </w:rPr>
        <w:tab/>
      </w:r>
      <w:r w:rsidR="0075097B">
        <w:rPr>
          <w:rFonts w:ascii="Arial" w:eastAsia="Times New Roman" w:hAnsi="Arial" w:cs="Arial"/>
          <w:b/>
          <w:bCs/>
          <w:sz w:val="24"/>
          <w:szCs w:val="24"/>
        </w:rPr>
        <w:t>Determining Fair Market Value</w:t>
      </w:r>
      <w:r w:rsidR="00A758FE">
        <w:rPr>
          <w:rFonts w:ascii="Arial" w:eastAsia="Times New Roman" w:hAnsi="Arial" w:cs="Arial"/>
          <w:b/>
          <w:bCs/>
          <w:sz w:val="24"/>
          <w:szCs w:val="24"/>
        </w:rPr>
        <w:t xml:space="preserve"> </w:t>
      </w:r>
      <w:r w:rsidR="007E20D6">
        <w:rPr>
          <w:rFonts w:ascii="Arial" w:eastAsia="Times New Roman" w:hAnsi="Arial" w:cs="Arial"/>
          <w:b/>
          <w:bCs/>
          <w:sz w:val="24"/>
          <w:szCs w:val="24"/>
        </w:rPr>
        <w:t>(FMV)</w:t>
      </w:r>
      <w:r w:rsidR="0075097B">
        <w:rPr>
          <w:rFonts w:ascii="Arial" w:eastAsia="Times New Roman" w:hAnsi="Arial" w:cs="Arial"/>
          <w:b/>
          <w:bCs/>
          <w:sz w:val="24"/>
          <w:szCs w:val="24"/>
        </w:rPr>
        <w:t xml:space="preserve"> for Residential and Nonresidential Properties</w:t>
      </w:r>
      <w:r>
        <w:rPr>
          <w:rFonts w:ascii="Arial" w:eastAsia="Times New Roman" w:hAnsi="Arial" w:cs="Arial"/>
          <w:b/>
          <w:bCs/>
          <w:sz w:val="24"/>
          <w:szCs w:val="24"/>
        </w:rPr>
        <w:tab/>
      </w:r>
    </w:p>
    <w:p w14:paraId="1E27294D" w14:textId="77777777" w:rsidR="00E345E1" w:rsidRDefault="00E345E1" w:rsidP="007358AF">
      <w:pPr>
        <w:spacing w:after="0" w:line="240" w:lineRule="auto"/>
        <w:ind w:left="1440" w:hanging="1440"/>
        <w:outlineLvl w:val="1"/>
        <w:rPr>
          <w:rFonts w:ascii="Arial" w:eastAsia="Times New Roman" w:hAnsi="Arial" w:cs="Arial"/>
          <w:b/>
          <w:bCs/>
          <w:sz w:val="24"/>
          <w:szCs w:val="24"/>
        </w:rPr>
      </w:pPr>
    </w:p>
    <w:p w14:paraId="65219947" w14:textId="01B2EADF" w:rsidR="00702640" w:rsidRDefault="007358AF" w:rsidP="00335C06">
      <w:pPr>
        <w:spacing w:after="0" w:line="240" w:lineRule="auto"/>
        <w:ind w:left="1440" w:hanging="1440"/>
        <w:rPr>
          <w:rFonts w:ascii="Arial" w:hAnsi="Arial" w:cs="Arial"/>
          <w:b/>
          <w:bCs/>
          <w:sz w:val="24"/>
          <w:szCs w:val="24"/>
        </w:rPr>
      </w:pPr>
      <w:r w:rsidRPr="005D37BA">
        <w:rPr>
          <w:rFonts w:ascii="Arial" w:hAnsi="Arial" w:cs="Arial"/>
          <w:b/>
          <w:sz w:val="24"/>
          <w:szCs w:val="24"/>
        </w:rPr>
        <w:t>Question</w:t>
      </w:r>
      <w:r w:rsidRPr="00AB5A9C">
        <w:rPr>
          <w:rFonts w:ascii="Arial" w:hAnsi="Arial" w:cs="Arial"/>
          <w:b/>
          <w:bCs/>
          <w:sz w:val="24"/>
          <w:szCs w:val="24"/>
        </w:rPr>
        <w:t>:</w:t>
      </w:r>
      <w:r w:rsidR="00335C06">
        <w:rPr>
          <w:rFonts w:ascii="Arial" w:hAnsi="Arial" w:cs="Arial"/>
          <w:b/>
          <w:bCs/>
          <w:sz w:val="24"/>
          <w:szCs w:val="24"/>
        </w:rPr>
        <w:tab/>
      </w:r>
      <w:r w:rsidR="00702640" w:rsidRPr="000554C4">
        <w:rPr>
          <w:rFonts w:ascii="Arial" w:hAnsi="Arial" w:cs="Arial"/>
          <w:b/>
          <w:bCs/>
          <w:sz w:val="24"/>
          <w:szCs w:val="24"/>
        </w:rPr>
        <w:t>Can the County Assistance Office (CAO) use on-line real estate listing services to determine FMV?</w:t>
      </w:r>
    </w:p>
    <w:p w14:paraId="4F90F47C" w14:textId="77777777" w:rsidR="00702640" w:rsidRDefault="00702640" w:rsidP="00335C06">
      <w:pPr>
        <w:spacing w:after="0" w:line="240" w:lineRule="auto"/>
        <w:ind w:left="1440" w:hanging="1440"/>
        <w:rPr>
          <w:rFonts w:ascii="Arial" w:hAnsi="Arial" w:cs="Arial"/>
          <w:b/>
          <w:bCs/>
          <w:sz w:val="24"/>
          <w:szCs w:val="24"/>
        </w:rPr>
      </w:pPr>
    </w:p>
    <w:p w14:paraId="68ED4926" w14:textId="101088A8" w:rsidR="007358AF" w:rsidRDefault="0075097B" w:rsidP="00702640">
      <w:pPr>
        <w:spacing w:after="0" w:line="240" w:lineRule="auto"/>
        <w:ind w:left="1440"/>
        <w:rPr>
          <w:rFonts w:ascii="Arial" w:hAnsi="Arial" w:cs="Arial"/>
          <w:sz w:val="24"/>
          <w:szCs w:val="24"/>
        </w:rPr>
      </w:pPr>
      <w:r w:rsidRPr="00AB5A9C">
        <w:rPr>
          <w:rFonts w:ascii="Arial" w:hAnsi="Arial" w:cs="Arial"/>
          <w:b/>
          <w:bCs/>
          <w:sz w:val="24"/>
          <w:szCs w:val="24"/>
        </w:rPr>
        <w:t xml:space="preserve">How does the CAO determine and verify </w:t>
      </w:r>
      <w:r w:rsidR="007E20D6" w:rsidRPr="00AB5A9C">
        <w:rPr>
          <w:rFonts w:ascii="Arial" w:hAnsi="Arial" w:cs="Arial"/>
          <w:b/>
          <w:bCs/>
          <w:sz w:val="24"/>
          <w:szCs w:val="24"/>
        </w:rPr>
        <w:t>FMV</w:t>
      </w:r>
      <w:r w:rsidRPr="00AB5A9C">
        <w:rPr>
          <w:rFonts w:ascii="Arial" w:hAnsi="Arial" w:cs="Arial"/>
          <w:b/>
          <w:bCs/>
          <w:sz w:val="24"/>
          <w:szCs w:val="24"/>
        </w:rPr>
        <w:t xml:space="preserve"> for residential and nonresidential properties?</w:t>
      </w:r>
      <w:r w:rsidR="007358AF">
        <w:rPr>
          <w:rFonts w:ascii="Arial" w:hAnsi="Arial" w:cs="Arial"/>
          <w:sz w:val="24"/>
          <w:szCs w:val="24"/>
        </w:rPr>
        <w:t xml:space="preserve"> </w:t>
      </w:r>
    </w:p>
    <w:p w14:paraId="020C1279" w14:textId="721C1C54" w:rsidR="007358AF" w:rsidRDefault="00270663" w:rsidP="007358AF">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sz w:val="24"/>
          <w:szCs w:val="24"/>
        </w:rPr>
        <w:pict w14:anchorId="063565B5">
          <v:rect id="_x0000_i1025" style="width:0;height:1.5pt" o:hralign="center" o:hrstd="t" o:hr="t" fillcolor="#a0a0a0" stroked="f"/>
        </w:pict>
      </w:r>
    </w:p>
    <w:tbl>
      <w:tblPr>
        <w:tblW w:w="10494" w:type="pct"/>
        <w:tblCellSpacing w:w="15" w:type="dxa"/>
        <w:tblCellMar>
          <w:top w:w="15" w:type="dxa"/>
          <w:left w:w="15" w:type="dxa"/>
          <w:bottom w:w="15" w:type="dxa"/>
          <w:right w:w="15" w:type="dxa"/>
        </w:tblCellMar>
        <w:tblLook w:val="04A0" w:firstRow="1" w:lastRow="0" w:firstColumn="1" w:lastColumn="0" w:noHBand="0" w:noVBand="1"/>
      </w:tblPr>
      <w:tblGrid>
        <w:gridCol w:w="5043"/>
        <w:gridCol w:w="5243"/>
        <w:gridCol w:w="5142"/>
        <w:gridCol w:w="4217"/>
      </w:tblGrid>
      <w:tr w:rsidR="007358AF" w:rsidRPr="005F5726" w14:paraId="1E9E9599" w14:textId="77777777" w:rsidTr="00702640">
        <w:trPr>
          <w:tblCellSpacing w:w="15" w:type="dxa"/>
        </w:trPr>
        <w:tc>
          <w:tcPr>
            <w:tcW w:w="1272" w:type="pct"/>
            <w:vAlign w:val="center"/>
          </w:tcPr>
          <w:p w14:paraId="572EDAD7" w14:textId="4981E242" w:rsidR="007358AF" w:rsidRPr="00446A5D" w:rsidRDefault="007358AF" w:rsidP="007358AF">
            <w:pPr>
              <w:spacing w:after="0" w:line="240" w:lineRule="auto"/>
              <w:rPr>
                <w:rFonts w:ascii="Arial" w:eastAsia="Times New Roman" w:hAnsi="Arial" w:cs="Arial"/>
                <w:b/>
                <w:sz w:val="20"/>
                <w:szCs w:val="20"/>
              </w:rPr>
            </w:pPr>
            <w:r w:rsidRPr="00C26BB1">
              <w:rPr>
                <w:rFonts w:ascii="Arial" w:eastAsia="Times New Roman" w:hAnsi="Arial" w:cs="Arial"/>
                <w:b/>
                <w:bCs/>
                <w:sz w:val="24"/>
                <w:szCs w:val="24"/>
              </w:rPr>
              <w:t xml:space="preserve">Response By:  </w:t>
            </w:r>
            <w:r w:rsidR="000F3D8A">
              <w:rPr>
                <w:rFonts w:ascii="Arial" w:eastAsia="Times New Roman" w:hAnsi="Arial" w:cs="Arial"/>
                <w:b/>
                <w:bCs/>
                <w:sz w:val="24"/>
                <w:szCs w:val="24"/>
              </w:rPr>
              <w:t>Policy Clarification Unit</w:t>
            </w:r>
          </w:p>
        </w:tc>
        <w:tc>
          <w:tcPr>
            <w:tcW w:w="1327" w:type="pct"/>
            <w:vAlign w:val="center"/>
          </w:tcPr>
          <w:p w14:paraId="3B8E5734" w14:textId="50573782" w:rsidR="007358AF" w:rsidRPr="00446A5D" w:rsidRDefault="007358AF" w:rsidP="007358AF">
            <w:pPr>
              <w:spacing w:after="0" w:line="240" w:lineRule="auto"/>
              <w:rPr>
                <w:rFonts w:ascii="Arial" w:eastAsia="Times New Roman" w:hAnsi="Arial" w:cs="Arial"/>
                <w:b/>
                <w:sz w:val="20"/>
                <w:szCs w:val="20"/>
              </w:rPr>
            </w:pPr>
            <w:r>
              <w:rPr>
                <w:rFonts w:ascii="Arial" w:eastAsia="Times New Roman" w:hAnsi="Arial" w:cs="Arial"/>
                <w:b/>
                <w:bCs/>
                <w:sz w:val="24"/>
                <w:szCs w:val="24"/>
              </w:rPr>
              <w:t xml:space="preserve"> </w:t>
            </w:r>
            <w:r w:rsidRPr="00C26BB1">
              <w:rPr>
                <w:rFonts w:ascii="Arial" w:eastAsia="Times New Roman" w:hAnsi="Arial" w:cs="Arial"/>
                <w:b/>
                <w:bCs/>
                <w:sz w:val="24"/>
                <w:szCs w:val="24"/>
              </w:rPr>
              <w:t xml:space="preserve">Date:  </w:t>
            </w:r>
          </w:p>
        </w:tc>
        <w:tc>
          <w:tcPr>
            <w:tcW w:w="1301" w:type="pct"/>
            <w:vAlign w:val="center"/>
          </w:tcPr>
          <w:p w14:paraId="4628552D" w14:textId="0E5E6AAB" w:rsidR="007358AF" w:rsidRPr="00446A5D" w:rsidRDefault="007358AF" w:rsidP="007358AF">
            <w:pPr>
              <w:spacing w:after="0" w:line="240" w:lineRule="auto"/>
              <w:rPr>
                <w:rFonts w:ascii="Arial" w:eastAsia="Times New Roman" w:hAnsi="Arial" w:cs="Arial"/>
                <w:b/>
                <w:sz w:val="20"/>
                <w:szCs w:val="20"/>
              </w:rPr>
            </w:pPr>
          </w:p>
        </w:tc>
        <w:tc>
          <w:tcPr>
            <w:tcW w:w="1062" w:type="pct"/>
            <w:vAlign w:val="center"/>
          </w:tcPr>
          <w:p w14:paraId="1458681B" w14:textId="09F677BD" w:rsidR="007358AF" w:rsidRPr="00446A5D" w:rsidRDefault="007358AF" w:rsidP="007358AF">
            <w:pPr>
              <w:spacing w:after="0" w:line="240" w:lineRule="auto"/>
              <w:rPr>
                <w:rFonts w:ascii="Arial" w:eastAsia="Times New Roman" w:hAnsi="Arial" w:cs="Arial"/>
                <w:b/>
                <w:sz w:val="20"/>
                <w:szCs w:val="20"/>
              </w:rPr>
            </w:pPr>
          </w:p>
        </w:tc>
      </w:tr>
      <w:tr w:rsidR="007358AF" w:rsidRPr="005F5726" w14:paraId="6A588AB1" w14:textId="77777777" w:rsidTr="00702640">
        <w:trPr>
          <w:tblCellSpacing w:w="15" w:type="dxa"/>
        </w:trPr>
        <w:tc>
          <w:tcPr>
            <w:tcW w:w="1272" w:type="pct"/>
          </w:tcPr>
          <w:p w14:paraId="40EFDDC8" w14:textId="77777777" w:rsidR="007358AF" w:rsidRPr="00446A5D" w:rsidRDefault="007358AF" w:rsidP="007358AF">
            <w:pPr>
              <w:spacing w:after="0" w:line="240" w:lineRule="auto"/>
              <w:rPr>
                <w:rFonts w:ascii="Arial" w:eastAsia="Times New Roman" w:hAnsi="Arial" w:cs="Arial"/>
                <w:b/>
                <w:sz w:val="20"/>
                <w:szCs w:val="20"/>
              </w:rPr>
            </w:pPr>
          </w:p>
        </w:tc>
        <w:tc>
          <w:tcPr>
            <w:tcW w:w="1327" w:type="pct"/>
          </w:tcPr>
          <w:p w14:paraId="4D1C2370" w14:textId="77777777" w:rsidR="007358AF" w:rsidRPr="00446A5D" w:rsidRDefault="007358AF" w:rsidP="007358AF">
            <w:pPr>
              <w:spacing w:after="0" w:line="240" w:lineRule="auto"/>
              <w:rPr>
                <w:rFonts w:ascii="Arial" w:eastAsia="Times New Roman" w:hAnsi="Arial" w:cs="Arial"/>
                <w:b/>
                <w:sz w:val="20"/>
                <w:szCs w:val="20"/>
              </w:rPr>
            </w:pPr>
          </w:p>
        </w:tc>
        <w:tc>
          <w:tcPr>
            <w:tcW w:w="1301" w:type="pct"/>
            <w:vAlign w:val="center"/>
          </w:tcPr>
          <w:p w14:paraId="0E439368" w14:textId="5EB42B59" w:rsidR="007358AF" w:rsidRPr="00446A5D" w:rsidRDefault="007358AF" w:rsidP="007358AF">
            <w:pPr>
              <w:spacing w:after="0" w:line="240" w:lineRule="auto"/>
              <w:rPr>
                <w:rFonts w:ascii="Arial" w:eastAsia="Times New Roman" w:hAnsi="Arial" w:cs="Arial"/>
                <w:b/>
                <w:sz w:val="20"/>
                <w:szCs w:val="20"/>
              </w:rPr>
            </w:pPr>
          </w:p>
        </w:tc>
        <w:tc>
          <w:tcPr>
            <w:tcW w:w="1062" w:type="pct"/>
            <w:vAlign w:val="center"/>
          </w:tcPr>
          <w:p w14:paraId="517AAD56" w14:textId="77777777" w:rsidR="007358AF" w:rsidRPr="00446A5D" w:rsidRDefault="007358AF" w:rsidP="007358AF">
            <w:pPr>
              <w:spacing w:after="0" w:line="240" w:lineRule="auto"/>
              <w:rPr>
                <w:rFonts w:ascii="Arial" w:eastAsia="Times New Roman" w:hAnsi="Arial" w:cs="Arial"/>
                <w:b/>
                <w:sz w:val="20"/>
                <w:szCs w:val="20"/>
              </w:rPr>
            </w:pPr>
          </w:p>
        </w:tc>
      </w:tr>
    </w:tbl>
    <w:p w14:paraId="45072FB2" w14:textId="77777777" w:rsidR="00702640" w:rsidRDefault="00702640" w:rsidP="00552810">
      <w:pPr>
        <w:spacing w:after="0" w:line="240" w:lineRule="auto"/>
        <w:rPr>
          <w:rFonts w:ascii="Arial" w:hAnsi="Arial" w:cs="Arial"/>
          <w:color w:val="000000"/>
          <w:sz w:val="24"/>
          <w:szCs w:val="24"/>
        </w:rPr>
      </w:pPr>
      <w:r w:rsidRPr="000554C4">
        <w:rPr>
          <w:rFonts w:ascii="Arial" w:hAnsi="Arial" w:cs="Arial"/>
          <w:color w:val="000000"/>
          <w:sz w:val="24"/>
          <w:szCs w:val="24"/>
        </w:rPr>
        <w:t xml:space="preserve">Using Zillow </w:t>
      </w:r>
      <w:r w:rsidRPr="000554C4">
        <w:rPr>
          <w:rFonts w:ascii="Arial" w:hAnsi="Arial" w:cs="Arial"/>
          <w:sz w:val="24"/>
          <w:szCs w:val="24"/>
        </w:rPr>
        <w:t>or any other on-line real estate listing</w:t>
      </w:r>
      <w:r w:rsidRPr="000554C4">
        <w:t xml:space="preserve"> </w:t>
      </w:r>
      <w:r w:rsidRPr="000554C4">
        <w:rPr>
          <w:rFonts w:ascii="Arial" w:hAnsi="Arial" w:cs="Arial"/>
          <w:color w:val="000000"/>
          <w:sz w:val="24"/>
          <w:szCs w:val="24"/>
        </w:rPr>
        <w:t>is not an approved method for determining FMV.  Additionally, the CAO may not require the individual to obtain an appraisal or use any other method to verify FMV of residential or nonresidential property which may require out-of-pocket expense to the individual.</w:t>
      </w:r>
    </w:p>
    <w:p w14:paraId="2E8815C7" w14:textId="77777777" w:rsidR="000328F8" w:rsidRDefault="000328F8" w:rsidP="00552810">
      <w:pPr>
        <w:spacing w:after="0" w:line="240" w:lineRule="auto"/>
        <w:rPr>
          <w:rFonts w:ascii="Arial" w:hAnsi="Arial" w:cs="Arial"/>
          <w:color w:val="000000"/>
          <w:sz w:val="24"/>
          <w:szCs w:val="24"/>
        </w:rPr>
      </w:pPr>
    </w:p>
    <w:p w14:paraId="63EE99C3" w14:textId="23B78B90" w:rsidR="0075097B" w:rsidRDefault="0075097B" w:rsidP="00552810">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 xml:space="preserve">When determining </w:t>
      </w:r>
      <w:r w:rsidR="00227BE9">
        <w:rPr>
          <w:rFonts w:ascii="Arial" w:hAnsi="Arial" w:cs="Arial"/>
          <w:color w:val="000000"/>
          <w:sz w:val="24"/>
          <w:szCs w:val="24"/>
        </w:rPr>
        <w:t xml:space="preserve">eligibility for </w:t>
      </w:r>
      <w:r>
        <w:rPr>
          <w:rFonts w:ascii="Arial" w:hAnsi="Arial" w:cs="Arial"/>
          <w:color w:val="000000"/>
          <w:sz w:val="24"/>
          <w:szCs w:val="24"/>
        </w:rPr>
        <w:t>Cash Assistance</w:t>
      </w:r>
      <w:r w:rsidRPr="0075097B">
        <w:rPr>
          <w:rFonts w:ascii="Arial" w:hAnsi="Arial" w:cs="Arial"/>
          <w:color w:val="000000"/>
          <w:sz w:val="24"/>
          <w:szCs w:val="24"/>
        </w:rPr>
        <w:t xml:space="preserve">, resident property of a budget group is an exempt resource.  </w:t>
      </w:r>
      <w:r w:rsidR="00DC2763">
        <w:rPr>
          <w:rFonts w:ascii="Arial" w:hAnsi="Arial" w:cs="Arial"/>
          <w:color w:val="000000"/>
          <w:sz w:val="24"/>
          <w:szCs w:val="24"/>
        </w:rPr>
        <w:t>FMV</w:t>
      </w:r>
      <w:r w:rsidR="00227BE9">
        <w:rPr>
          <w:rFonts w:ascii="Arial" w:hAnsi="Arial" w:cs="Arial"/>
          <w:color w:val="000000"/>
          <w:sz w:val="24"/>
          <w:szCs w:val="24"/>
        </w:rPr>
        <w:t xml:space="preserve"> </w:t>
      </w:r>
      <w:r w:rsidRPr="0075097B">
        <w:rPr>
          <w:rFonts w:ascii="Arial" w:hAnsi="Arial" w:cs="Arial"/>
          <w:color w:val="000000"/>
          <w:sz w:val="24"/>
          <w:szCs w:val="24"/>
        </w:rPr>
        <w:t>of nonresidential property can be verified by</w:t>
      </w:r>
      <w:r w:rsidR="00227BE9">
        <w:rPr>
          <w:rFonts w:ascii="Arial" w:hAnsi="Arial" w:cs="Arial"/>
          <w:color w:val="000000"/>
          <w:sz w:val="24"/>
          <w:szCs w:val="24"/>
        </w:rPr>
        <w:t xml:space="preserve"> the following</w:t>
      </w:r>
      <w:r w:rsidRPr="0075097B">
        <w:rPr>
          <w:rFonts w:ascii="Arial" w:hAnsi="Arial" w:cs="Arial"/>
          <w:color w:val="000000"/>
          <w:sz w:val="24"/>
          <w:szCs w:val="24"/>
        </w:rPr>
        <w:t>:</w:t>
      </w:r>
    </w:p>
    <w:p w14:paraId="70E31897" w14:textId="77777777" w:rsidR="00552810" w:rsidRPr="0075097B" w:rsidRDefault="00552810" w:rsidP="00552810">
      <w:pPr>
        <w:pStyle w:val="NormalWeb"/>
        <w:spacing w:before="0" w:beforeAutospacing="0" w:after="0" w:afterAutospacing="0"/>
        <w:rPr>
          <w:sz w:val="24"/>
          <w:szCs w:val="24"/>
        </w:rPr>
      </w:pPr>
    </w:p>
    <w:p w14:paraId="538DA6EE" w14:textId="77777777" w:rsidR="0075097B" w:rsidRPr="0075097B" w:rsidRDefault="0075097B" w:rsidP="00552810">
      <w:pPr>
        <w:numPr>
          <w:ilvl w:val="0"/>
          <w:numId w:val="9"/>
        </w:numPr>
        <w:tabs>
          <w:tab w:val="clear" w:pos="720"/>
          <w:tab w:val="num" w:pos="1080"/>
        </w:tabs>
        <w:spacing w:after="0" w:line="240" w:lineRule="auto"/>
        <w:ind w:left="1080"/>
        <w:rPr>
          <w:rFonts w:ascii="Arial" w:eastAsia="Times New Roman" w:hAnsi="Arial" w:cs="Arial"/>
          <w:color w:val="000000"/>
          <w:sz w:val="24"/>
          <w:szCs w:val="24"/>
        </w:rPr>
      </w:pPr>
      <w:r w:rsidRPr="0075097B">
        <w:rPr>
          <w:rFonts w:ascii="Arial" w:eastAsia="Times New Roman" w:hAnsi="Arial" w:cs="Arial"/>
          <w:color w:val="000000"/>
          <w:sz w:val="24"/>
          <w:szCs w:val="24"/>
        </w:rPr>
        <w:t>property tax assessment records, </w:t>
      </w:r>
    </w:p>
    <w:p w14:paraId="7C49D12C" w14:textId="77777777" w:rsidR="0075097B" w:rsidRPr="0075097B" w:rsidRDefault="0075097B" w:rsidP="00552810">
      <w:pPr>
        <w:numPr>
          <w:ilvl w:val="0"/>
          <w:numId w:val="9"/>
        </w:numPr>
        <w:tabs>
          <w:tab w:val="clear" w:pos="720"/>
          <w:tab w:val="num" w:pos="1080"/>
        </w:tabs>
        <w:spacing w:after="0" w:line="240" w:lineRule="auto"/>
        <w:ind w:left="1080"/>
        <w:rPr>
          <w:rFonts w:ascii="Arial" w:eastAsia="Times New Roman" w:hAnsi="Arial" w:cs="Arial"/>
          <w:color w:val="000000"/>
          <w:sz w:val="24"/>
          <w:szCs w:val="24"/>
        </w:rPr>
      </w:pPr>
      <w:r w:rsidRPr="0075097B">
        <w:rPr>
          <w:rFonts w:ascii="Arial" w:eastAsia="Times New Roman" w:hAnsi="Arial" w:cs="Arial"/>
          <w:color w:val="000000"/>
          <w:sz w:val="24"/>
          <w:szCs w:val="24"/>
        </w:rPr>
        <w:t>statement from a licensed real estate broker, </w:t>
      </w:r>
    </w:p>
    <w:p w14:paraId="36EA8796" w14:textId="77777777" w:rsidR="0075097B" w:rsidRPr="0075097B" w:rsidRDefault="0075097B" w:rsidP="00552810">
      <w:pPr>
        <w:numPr>
          <w:ilvl w:val="0"/>
          <w:numId w:val="9"/>
        </w:numPr>
        <w:tabs>
          <w:tab w:val="clear" w:pos="720"/>
          <w:tab w:val="num" w:pos="1080"/>
        </w:tabs>
        <w:spacing w:after="0" w:line="240" w:lineRule="auto"/>
        <w:ind w:left="1080"/>
        <w:rPr>
          <w:rFonts w:ascii="Arial" w:eastAsia="Times New Roman" w:hAnsi="Arial" w:cs="Arial"/>
          <w:color w:val="000000"/>
          <w:sz w:val="24"/>
          <w:szCs w:val="24"/>
        </w:rPr>
      </w:pPr>
      <w:r w:rsidRPr="0075097B">
        <w:rPr>
          <w:rFonts w:ascii="Arial" w:eastAsia="Times New Roman" w:hAnsi="Arial" w:cs="Arial"/>
          <w:color w:val="000000"/>
          <w:sz w:val="24"/>
          <w:szCs w:val="24"/>
        </w:rPr>
        <w:t>statement from a real estate appraiser, </w:t>
      </w:r>
    </w:p>
    <w:p w14:paraId="5E60500B" w14:textId="77777777" w:rsidR="0075097B" w:rsidRPr="0075097B" w:rsidRDefault="0075097B" w:rsidP="00552810">
      <w:pPr>
        <w:numPr>
          <w:ilvl w:val="0"/>
          <w:numId w:val="9"/>
        </w:numPr>
        <w:tabs>
          <w:tab w:val="clear" w:pos="720"/>
          <w:tab w:val="num" w:pos="1080"/>
        </w:tabs>
        <w:spacing w:after="0" w:line="240" w:lineRule="auto"/>
        <w:ind w:left="1080"/>
        <w:rPr>
          <w:rFonts w:ascii="Arial" w:eastAsia="Times New Roman" w:hAnsi="Arial" w:cs="Arial"/>
          <w:color w:val="000000"/>
          <w:sz w:val="24"/>
          <w:szCs w:val="24"/>
        </w:rPr>
      </w:pPr>
      <w:r w:rsidRPr="0075097B">
        <w:rPr>
          <w:rFonts w:ascii="Arial" w:eastAsia="Times New Roman" w:hAnsi="Arial" w:cs="Arial"/>
          <w:color w:val="000000"/>
          <w:sz w:val="24"/>
          <w:szCs w:val="24"/>
        </w:rPr>
        <w:t>statement from a financial institution, or</w:t>
      </w:r>
    </w:p>
    <w:p w14:paraId="7F2FC5EA" w14:textId="428C5632" w:rsidR="0075097B" w:rsidRPr="00227BE9" w:rsidRDefault="0075097B" w:rsidP="00552810">
      <w:pPr>
        <w:numPr>
          <w:ilvl w:val="0"/>
          <w:numId w:val="9"/>
        </w:numPr>
        <w:tabs>
          <w:tab w:val="clear" w:pos="720"/>
          <w:tab w:val="num" w:pos="1080"/>
        </w:tabs>
        <w:spacing w:after="0" w:line="240" w:lineRule="auto"/>
        <w:ind w:left="1080"/>
        <w:rPr>
          <w:rFonts w:ascii="Arial" w:hAnsi="Arial" w:cs="Arial"/>
          <w:color w:val="000000"/>
          <w:sz w:val="24"/>
          <w:szCs w:val="24"/>
        </w:rPr>
      </w:pPr>
      <w:r w:rsidRPr="00227BE9">
        <w:rPr>
          <w:rFonts w:ascii="Arial" w:eastAsia="Times New Roman" w:hAnsi="Arial" w:cs="Arial"/>
          <w:color w:val="000000"/>
          <w:sz w:val="24"/>
          <w:szCs w:val="24"/>
        </w:rPr>
        <w:t>court records.</w:t>
      </w:r>
    </w:p>
    <w:p w14:paraId="6FE7547E" w14:textId="77777777" w:rsidR="00552810" w:rsidRDefault="00552810" w:rsidP="00552810">
      <w:pPr>
        <w:spacing w:after="0" w:line="240" w:lineRule="auto"/>
        <w:rPr>
          <w:rFonts w:ascii="Arial" w:hAnsi="Arial" w:cs="Arial"/>
          <w:color w:val="000000"/>
          <w:sz w:val="24"/>
          <w:szCs w:val="24"/>
        </w:rPr>
      </w:pPr>
    </w:p>
    <w:p w14:paraId="475A9BF0" w14:textId="53333E3C" w:rsidR="000719D6" w:rsidRDefault="00227BE9" w:rsidP="00552810">
      <w:pPr>
        <w:spacing w:after="0" w:line="240" w:lineRule="auto"/>
        <w:rPr>
          <w:rFonts w:ascii="Arial" w:hAnsi="Arial" w:cs="Arial"/>
          <w:color w:val="000000"/>
          <w:sz w:val="24"/>
          <w:szCs w:val="24"/>
        </w:rPr>
      </w:pPr>
      <w:r>
        <w:rPr>
          <w:rFonts w:ascii="Arial" w:hAnsi="Arial" w:cs="Arial"/>
          <w:color w:val="000000"/>
          <w:sz w:val="24"/>
          <w:szCs w:val="24"/>
        </w:rPr>
        <w:t>When determining</w:t>
      </w:r>
      <w:r w:rsidR="0075097B" w:rsidRPr="0075097B">
        <w:rPr>
          <w:rFonts w:ascii="Arial" w:hAnsi="Arial" w:cs="Arial"/>
          <w:color w:val="000000"/>
          <w:sz w:val="24"/>
          <w:szCs w:val="24"/>
        </w:rPr>
        <w:t xml:space="preserve"> </w:t>
      </w:r>
      <w:r>
        <w:rPr>
          <w:rFonts w:ascii="Arial" w:hAnsi="Arial" w:cs="Arial"/>
          <w:color w:val="000000"/>
          <w:sz w:val="24"/>
          <w:szCs w:val="24"/>
        </w:rPr>
        <w:t xml:space="preserve">eligibility for </w:t>
      </w:r>
      <w:r w:rsidR="0075097B" w:rsidRPr="0075097B">
        <w:rPr>
          <w:rFonts w:ascii="Arial" w:hAnsi="Arial" w:cs="Arial"/>
          <w:color w:val="000000"/>
          <w:sz w:val="24"/>
          <w:szCs w:val="24"/>
        </w:rPr>
        <w:t xml:space="preserve">Medical Assistance </w:t>
      </w:r>
      <w:r w:rsidR="008C0512">
        <w:rPr>
          <w:rFonts w:ascii="Arial" w:hAnsi="Arial" w:cs="Arial"/>
          <w:color w:val="000000"/>
          <w:sz w:val="24"/>
          <w:szCs w:val="24"/>
        </w:rPr>
        <w:t xml:space="preserve">(MA) </w:t>
      </w:r>
      <w:r w:rsidR="0075097B" w:rsidRPr="0075097B">
        <w:rPr>
          <w:rFonts w:ascii="Arial" w:hAnsi="Arial" w:cs="Arial"/>
          <w:color w:val="000000"/>
          <w:sz w:val="24"/>
          <w:szCs w:val="24"/>
        </w:rPr>
        <w:t xml:space="preserve">and </w:t>
      </w:r>
      <w:r w:rsidRPr="0075097B">
        <w:rPr>
          <w:rFonts w:ascii="Arial" w:hAnsi="Arial" w:cs="Arial"/>
          <w:color w:val="000000"/>
          <w:sz w:val="24"/>
          <w:szCs w:val="24"/>
        </w:rPr>
        <w:t>Long-Term</w:t>
      </w:r>
      <w:r w:rsidR="0075097B" w:rsidRPr="0075097B">
        <w:rPr>
          <w:rFonts w:ascii="Arial" w:hAnsi="Arial" w:cs="Arial"/>
          <w:color w:val="000000"/>
          <w:sz w:val="24"/>
          <w:szCs w:val="24"/>
        </w:rPr>
        <w:t xml:space="preserve"> Care, residential and nonresidential propert</w:t>
      </w:r>
      <w:r>
        <w:rPr>
          <w:rFonts w:ascii="Arial" w:hAnsi="Arial" w:cs="Arial"/>
          <w:color w:val="000000"/>
          <w:sz w:val="24"/>
          <w:szCs w:val="24"/>
        </w:rPr>
        <w:t>ies</w:t>
      </w:r>
      <w:r w:rsidR="0075097B" w:rsidRPr="0075097B">
        <w:rPr>
          <w:rFonts w:ascii="Arial" w:hAnsi="Arial" w:cs="Arial"/>
          <w:color w:val="000000"/>
          <w:sz w:val="24"/>
          <w:szCs w:val="24"/>
        </w:rPr>
        <w:t xml:space="preserve"> are considered available resources unless excluded under other D</w:t>
      </w:r>
      <w:r>
        <w:rPr>
          <w:rFonts w:ascii="Arial" w:hAnsi="Arial" w:cs="Arial"/>
          <w:color w:val="000000"/>
          <w:sz w:val="24"/>
          <w:szCs w:val="24"/>
        </w:rPr>
        <w:t xml:space="preserve">epartment of </w:t>
      </w:r>
      <w:r w:rsidR="0075097B" w:rsidRPr="0075097B">
        <w:rPr>
          <w:rFonts w:ascii="Arial" w:hAnsi="Arial" w:cs="Arial"/>
          <w:color w:val="000000"/>
          <w:sz w:val="24"/>
          <w:szCs w:val="24"/>
        </w:rPr>
        <w:t>H</w:t>
      </w:r>
      <w:r>
        <w:rPr>
          <w:rFonts w:ascii="Arial" w:hAnsi="Arial" w:cs="Arial"/>
          <w:color w:val="000000"/>
          <w:sz w:val="24"/>
          <w:szCs w:val="24"/>
        </w:rPr>
        <w:t xml:space="preserve">uman </w:t>
      </w:r>
      <w:r w:rsidR="0075097B" w:rsidRPr="0075097B">
        <w:rPr>
          <w:rFonts w:ascii="Arial" w:hAnsi="Arial" w:cs="Arial"/>
          <w:color w:val="000000"/>
          <w:sz w:val="24"/>
          <w:szCs w:val="24"/>
        </w:rPr>
        <w:t>S</w:t>
      </w:r>
      <w:r>
        <w:rPr>
          <w:rFonts w:ascii="Arial" w:hAnsi="Arial" w:cs="Arial"/>
          <w:color w:val="000000"/>
          <w:sz w:val="24"/>
          <w:szCs w:val="24"/>
        </w:rPr>
        <w:t>ervices</w:t>
      </w:r>
      <w:r w:rsidR="0075097B" w:rsidRPr="0075097B">
        <w:rPr>
          <w:rFonts w:ascii="Arial" w:hAnsi="Arial" w:cs="Arial"/>
          <w:color w:val="000000"/>
          <w:sz w:val="24"/>
          <w:szCs w:val="24"/>
        </w:rPr>
        <w:t xml:space="preserve"> rules.  </w:t>
      </w:r>
      <w:r w:rsidRPr="00B97264">
        <w:rPr>
          <w:rFonts w:ascii="Arial" w:hAnsi="Arial" w:cs="Arial"/>
          <w:color w:val="000000"/>
          <w:sz w:val="24"/>
          <w:szCs w:val="24"/>
        </w:rPr>
        <w:t xml:space="preserve">It is important to note that </w:t>
      </w:r>
      <w:r w:rsidR="00CA1862" w:rsidRPr="00B97264">
        <w:rPr>
          <w:rFonts w:ascii="Arial" w:hAnsi="Arial" w:cs="Arial"/>
          <w:color w:val="000000"/>
          <w:sz w:val="24"/>
          <w:szCs w:val="24"/>
        </w:rPr>
        <w:t>resident property of an applicant or recipient is excluded when determining eligibility for</w:t>
      </w:r>
      <w:r w:rsidRPr="00B97264">
        <w:rPr>
          <w:rFonts w:ascii="Arial" w:hAnsi="Arial" w:cs="Arial"/>
          <w:color w:val="000000"/>
          <w:sz w:val="24"/>
          <w:szCs w:val="24"/>
        </w:rPr>
        <w:t xml:space="preserve"> </w:t>
      </w:r>
      <w:r w:rsidR="00E26D21" w:rsidRPr="00E26D21">
        <w:rPr>
          <w:rFonts w:ascii="Arial" w:hAnsi="Arial" w:cs="Arial"/>
          <w:color w:val="000000"/>
          <w:sz w:val="24"/>
          <w:szCs w:val="24"/>
        </w:rPr>
        <w:t>Modified Adjusted Gross Income</w:t>
      </w:r>
      <w:r w:rsidR="007E20D6" w:rsidRPr="00B97264">
        <w:rPr>
          <w:rFonts w:ascii="Arial" w:hAnsi="Arial" w:cs="Arial"/>
          <w:color w:val="000000"/>
          <w:sz w:val="24"/>
          <w:szCs w:val="24"/>
        </w:rPr>
        <w:t xml:space="preserve">-related, </w:t>
      </w:r>
      <w:r w:rsidR="00DA42C2">
        <w:rPr>
          <w:rFonts w:ascii="Arial" w:hAnsi="Arial" w:cs="Arial"/>
          <w:color w:val="000000"/>
          <w:sz w:val="24"/>
          <w:szCs w:val="24"/>
        </w:rPr>
        <w:t>General Assistance</w:t>
      </w:r>
      <w:r w:rsidRPr="00B97264">
        <w:rPr>
          <w:rFonts w:ascii="Arial" w:hAnsi="Arial" w:cs="Arial"/>
          <w:color w:val="000000"/>
          <w:sz w:val="24"/>
          <w:szCs w:val="24"/>
        </w:rPr>
        <w:t>-</w:t>
      </w:r>
      <w:r w:rsidR="00B97264" w:rsidRPr="00B97264">
        <w:rPr>
          <w:rFonts w:ascii="Arial" w:hAnsi="Arial" w:cs="Arial"/>
          <w:color w:val="000000"/>
          <w:sz w:val="24"/>
          <w:szCs w:val="24"/>
        </w:rPr>
        <w:t>related,</w:t>
      </w:r>
      <w:r w:rsidRPr="00B97264">
        <w:rPr>
          <w:rFonts w:ascii="Arial" w:hAnsi="Arial" w:cs="Arial"/>
          <w:color w:val="000000"/>
          <w:sz w:val="24"/>
          <w:szCs w:val="24"/>
        </w:rPr>
        <w:t xml:space="preserve"> and </w:t>
      </w:r>
      <w:r w:rsidR="00E47F32" w:rsidRPr="00E47F32">
        <w:rPr>
          <w:rFonts w:ascii="Arial" w:hAnsi="Arial" w:cs="Arial"/>
          <w:color w:val="000000"/>
          <w:sz w:val="24"/>
          <w:szCs w:val="24"/>
        </w:rPr>
        <w:t>Supplemental Security Income</w:t>
      </w:r>
      <w:r w:rsidRPr="00B97264">
        <w:rPr>
          <w:rFonts w:ascii="Arial" w:hAnsi="Arial" w:cs="Arial"/>
          <w:color w:val="000000"/>
          <w:sz w:val="24"/>
          <w:szCs w:val="24"/>
        </w:rPr>
        <w:t>-related categories</w:t>
      </w:r>
      <w:r w:rsidR="00B97264" w:rsidRPr="00B97264">
        <w:rPr>
          <w:rFonts w:ascii="Arial" w:hAnsi="Arial" w:cs="Arial"/>
          <w:color w:val="000000"/>
          <w:sz w:val="24"/>
          <w:szCs w:val="24"/>
        </w:rPr>
        <w:t xml:space="preserve"> of </w:t>
      </w:r>
      <w:r w:rsidR="008C0512">
        <w:rPr>
          <w:rFonts w:ascii="Arial" w:hAnsi="Arial" w:cs="Arial"/>
          <w:color w:val="000000"/>
          <w:sz w:val="24"/>
          <w:szCs w:val="24"/>
        </w:rPr>
        <w:t>MA</w:t>
      </w:r>
      <w:r w:rsidR="00B97264">
        <w:rPr>
          <w:rFonts w:ascii="Arial" w:hAnsi="Arial" w:cs="Arial"/>
          <w:color w:val="000000"/>
          <w:sz w:val="24"/>
          <w:szCs w:val="24"/>
        </w:rPr>
        <w:t>.</w:t>
      </w:r>
    </w:p>
    <w:p w14:paraId="4DCADE0F" w14:textId="77777777" w:rsidR="001D34BE" w:rsidRDefault="001D34BE" w:rsidP="00552810">
      <w:pPr>
        <w:spacing w:after="0" w:line="240" w:lineRule="auto"/>
        <w:rPr>
          <w:rFonts w:ascii="Arial" w:hAnsi="Arial" w:cs="Arial"/>
          <w:color w:val="000000"/>
          <w:sz w:val="24"/>
          <w:szCs w:val="24"/>
        </w:rPr>
      </w:pPr>
    </w:p>
    <w:p w14:paraId="66C896E5" w14:textId="03CB0B22" w:rsidR="0075097B" w:rsidRDefault="000719D6" w:rsidP="00552810">
      <w:pPr>
        <w:spacing w:after="0" w:line="240" w:lineRule="auto"/>
        <w:rPr>
          <w:rFonts w:ascii="Arial" w:hAnsi="Arial" w:cs="Arial"/>
          <w:color w:val="000000"/>
          <w:sz w:val="24"/>
          <w:szCs w:val="24"/>
        </w:rPr>
      </w:pPr>
      <w:r>
        <w:rPr>
          <w:rFonts w:ascii="Arial" w:hAnsi="Arial" w:cs="Arial"/>
          <w:color w:val="000000"/>
          <w:sz w:val="24"/>
          <w:szCs w:val="24"/>
        </w:rPr>
        <w:t>T</w:t>
      </w:r>
      <w:r w:rsidR="0075097B" w:rsidRPr="0075097B">
        <w:rPr>
          <w:rFonts w:ascii="Arial" w:hAnsi="Arial" w:cs="Arial"/>
          <w:color w:val="000000"/>
          <w:sz w:val="24"/>
          <w:szCs w:val="24"/>
        </w:rPr>
        <w:t xml:space="preserve">he following can be used to verify </w:t>
      </w:r>
      <w:r w:rsidR="007E20D6">
        <w:rPr>
          <w:rFonts w:ascii="Arial" w:hAnsi="Arial" w:cs="Arial"/>
          <w:color w:val="000000"/>
          <w:sz w:val="24"/>
          <w:szCs w:val="24"/>
        </w:rPr>
        <w:t>FMV</w:t>
      </w:r>
      <w:r w:rsidR="0075097B" w:rsidRPr="0075097B">
        <w:rPr>
          <w:rFonts w:ascii="Arial" w:hAnsi="Arial" w:cs="Arial"/>
          <w:color w:val="000000"/>
          <w:sz w:val="24"/>
          <w:szCs w:val="24"/>
        </w:rPr>
        <w:t>:</w:t>
      </w:r>
    </w:p>
    <w:p w14:paraId="00ACF233" w14:textId="77777777" w:rsidR="00552810" w:rsidRPr="0075097B" w:rsidRDefault="00552810" w:rsidP="00552810">
      <w:pPr>
        <w:spacing w:after="0" w:line="240" w:lineRule="auto"/>
        <w:rPr>
          <w:rFonts w:ascii="Arial" w:hAnsi="Arial" w:cs="Arial"/>
          <w:color w:val="000000"/>
          <w:sz w:val="24"/>
          <w:szCs w:val="24"/>
        </w:rPr>
      </w:pPr>
    </w:p>
    <w:p w14:paraId="3851B6D1" w14:textId="665F81D1" w:rsidR="0075097B" w:rsidRPr="0075097B" w:rsidRDefault="0075097B" w:rsidP="00552810">
      <w:pPr>
        <w:pStyle w:val="ListParagraph"/>
        <w:numPr>
          <w:ilvl w:val="0"/>
          <w:numId w:val="10"/>
        </w:numPr>
        <w:spacing w:after="0" w:line="240" w:lineRule="auto"/>
        <w:ind w:left="1080"/>
        <w:contextualSpacing w:val="0"/>
        <w:rPr>
          <w:rFonts w:ascii="Arial" w:eastAsia="Times New Roman" w:hAnsi="Arial" w:cs="Arial"/>
          <w:color w:val="000000"/>
          <w:sz w:val="24"/>
          <w:szCs w:val="24"/>
        </w:rPr>
      </w:pPr>
      <w:r w:rsidRPr="0075097B">
        <w:rPr>
          <w:rFonts w:ascii="Arial" w:eastAsia="Times New Roman" w:hAnsi="Arial" w:cs="Arial"/>
          <w:color w:val="000000"/>
          <w:sz w:val="24"/>
          <w:szCs w:val="24"/>
        </w:rPr>
        <w:t>A written and signed appraisal from a knowledgeable source such as a real estate broker or bank, savings and loan association, mortgage company, or similar lending institution, or</w:t>
      </w:r>
      <w:r w:rsidR="00552810">
        <w:rPr>
          <w:rFonts w:ascii="Arial" w:eastAsia="Times New Roman" w:hAnsi="Arial" w:cs="Arial"/>
          <w:color w:val="000000"/>
          <w:sz w:val="24"/>
          <w:szCs w:val="24"/>
        </w:rPr>
        <w:br/>
      </w:r>
    </w:p>
    <w:p w14:paraId="31DF51C9" w14:textId="02D747DF" w:rsidR="0075097B" w:rsidRDefault="007E20D6" w:rsidP="00552810">
      <w:pPr>
        <w:numPr>
          <w:ilvl w:val="0"/>
          <w:numId w:val="11"/>
        </w:numPr>
        <w:spacing w:after="0" w:line="240" w:lineRule="auto"/>
        <w:ind w:left="1080"/>
        <w:rPr>
          <w:rFonts w:ascii="Arial" w:eastAsia="Times New Roman" w:hAnsi="Arial" w:cs="Arial"/>
          <w:color w:val="000000"/>
          <w:sz w:val="24"/>
          <w:szCs w:val="24"/>
        </w:rPr>
      </w:pPr>
      <w:r>
        <w:rPr>
          <w:rFonts w:ascii="Arial" w:eastAsia="Times New Roman" w:hAnsi="Arial" w:cs="Arial"/>
          <w:color w:val="000000"/>
          <w:sz w:val="24"/>
          <w:szCs w:val="24"/>
        </w:rPr>
        <w:t>P</w:t>
      </w:r>
      <w:r w:rsidR="0075097B" w:rsidRPr="0075097B">
        <w:rPr>
          <w:rFonts w:ascii="Arial" w:eastAsia="Times New Roman" w:hAnsi="Arial" w:cs="Arial"/>
          <w:color w:val="000000"/>
          <w:sz w:val="24"/>
          <w:szCs w:val="24"/>
        </w:rPr>
        <w:t>roperty tax assessment records.</w:t>
      </w:r>
    </w:p>
    <w:p w14:paraId="381DB2C2" w14:textId="77777777" w:rsidR="00552810" w:rsidRDefault="00552810" w:rsidP="00552810">
      <w:pPr>
        <w:pStyle w:val="ListParagraph"/>
        <w:spacing w:after="0" w:line="240" w:lineRule="auto"/>
        <w:ind w:left="1080" w:right="80"/>
        <w:rPr>
          <w:rFonts w:ascii="Arial" w:eastAsia="Times New Roman" w:hAnsi="Arial" w:cs="Arial"/>
          <w:b/>
          <w:bCs/>
          <w:color w:val="000000"/>
          <w:sz w:val="24"/>
          <w:szCs w:val="24"/>
        </w:rPr>
      </w:pPr>
    </w:p>
    <w:p w14:paraId="30FE082E" w14:textId="05D42F0D" w:rsidR="000719D6" w:rsidRPr="00B97264" w:rsidRDefault="000719D6" w:rsidP="00552810">
      <w:pPr>
        <w:pStyle w:val="ListParagraph"/>
        <w:spacing w:after="0" w:line="240" w:lineRule="auto"/>
        <w:ind w:left="1080" w:right="80"/>
        <w:rPr>
          <w:rFonts w:ascii="Arial" w:eastAsia="Times New Roman" w:hAnsi="Arial" w:cs="Arial"/>
          <w:color w:val="000000"/>
          <w:sz w:val="24"/>
          <w:szCs w:val="24"/>
        </w:rPr>
      </w:pPr>
      <w:r w:rsidRPr="00B97264">
        <w:rPr>
          <w:rFonts w:ascii="Arial" w:eastAsia="Times New Roman" w:hAnsi="Arial" w:cs="Arial"/>
          <w:b/>
          <w:bCs/>
          <w:color w:val="000000"/>
          <w:sz w:val="24"/>
          <w:szCs w:val="24"/>
        </w:rPr>
        <w:t>NOTE:</w:t>
      </w:r>
      <w:r w:rsidRPr="00B97264">
        <w:rPr>
          <w:rFonts w:ascii="Arial" w:eastAsia="Times New Roman" w:hAnsi="Arial" w:cs="Arial"/>
          <w:color w:val="000000"/>
          <w:sz w:val="24"/>
          <w:szCs w:val="24"/>
        </w:rPr>
        <w:t xml:space="preserve">  Not all taxing districts use 100 percent of a property's </w:t>
      </w:r>
      <w:r w:rsidR="007E20D6" w:rsidRPr="00B97264">
        <w:rPr>
          <w:rFonts w:ascii="Arial" w:eastAsia="Times New Roman" w:hAnsi="Arial" w:cs="Arial"/>
          <w:color w:val="000000"/>
          <w:sz w:val="24"/>
          <w:szCs w:val="24"/>
        </w:rPr>
        <w:t>FMV</w:t>
      </w:r>
      <w:r w:rsidRPr="00B97264">
        <w:rPr>
          <w:rFonts w:ascii="Arial" w:eastAsia="Times New Roman" w:hAnsi="Arial" w:cs="Arial"/>
          <w:color w:val="000000"/>
          <w:sz w:val="24"/>
          <w:szCs w:val="24"/>
        </w:rPr>
        <w:t xml:space="preserve"> when figuring the property tax.  </w:t>
      </w:r>
      <w:r w:rsidRPr="00B97264">
        <w:rPr>
          <w:rFonts w:ascii="Arial" w:hAnsi="Arial" w:cs="Arial"/>
          <w:color w:val="000000"/>
          <w:sz w:val="24"/>
          <w:szCs w:val="24"/>
        </w:rPr>
        <w:t>The CAO will multiply the assessed value by the common level ration factor to determine the FMV of the property.</w:t>
      </w:r>
    </w:p>
    <w:p w14:paraId="2D2CBDB8" w14:textId="77777777" w:rsidR="00552810" w:rsidRDefault="00552810" w:rsidP="00552810">
      <w:pPr>
        <w:pStyle w:val="NormalWeb"/>
        <w:spacing w:before="0" w:beforeAutospacing="0" w:after="0" w:afterAutospacing="0"/>
        <w:rPr>
          <w:rFonts w:ascii="Arial" w:hAnsi="Arial" w:cs="Arial"/>
          <w:color w:val="000000"/>
          <w:sz w:val="24"/>
          <w:szCs w:val="24"/>
        </w:rPr>
      </w:pPr>
    </w:p>
    <w:p w14:paraId="4C456E11" w14:textId="7904187F" w:rsidR="0075097B" w:rsidRDefault="000719D6" w:rsidP="00552810">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t>When determining eligibility f</w:t>
      </w:r>
      <w:r w:rsidR="0075097B" w:rsidRPr="0075097B">
        <w:rPr>
          <w:rFonts w:ascii="Arial" w:hAnsi="Arial" w:cs="Arial"/>
          <w:color w:val="000000"/>
          <w:sz w:val="24"/>
          <w:szCs w:val="24"/>
        </w:rPr>
        <w:t xml:space="preserve">or </w:t>
      </w:r>
      <w:r w:rsidR="00552810">
        <w:rPr>
          <w:rFonts w:ascii="Arial" w:hAnsi="Arial" w:cs="Arial"/>
          <w:color w:val="000000"/>
          <w:sz w:val="24"/>
          <w:szCs w:val="24"/>
        </w:rPr>
        <w:t xml:space="preserve">the </w:t>
      </w:r>
      <w:r w:rsidR="00D613AA" w:rsidRPr="00D613AA">
        <w:rPr>
          <w:rFonts w:ascii="Arial" w:hAnsi="Arial" w:cs="Arial"/>
          <w:color w:val="000000"/>
          <w:sz w:val="24"/>
          <w:szCs w:val="24"/>
        </w:rPr>
        <w:t>Supplemental Nutrition Assistance Program</w:t>
      </w:r>
      <w:r w:rsidR="0075097B" w:rsidRPr="0075097B">
        <w:rPr>
          <w:rFonts w:ascii="Arial" w:hAnsi="Arial" w:cs="Arial"/>
          <w:color w:val="000000"/>
          <w:sz w:val="24"/>
          <w:szCs w:val="24"/>
        </w:rPr>
        <w:t xml:space="preserve">, residential property and nonresidential income-producing property are exempt as resources.  Nonresidential property that does not generate income is included as a resource at </w:t>
      </w:r>
      <w:r>
        <w:rPr>
          <w:rFonts w:ascii="Arial" w:hAnsi="Arial" w:cs="Arial"/>
          <w:color w:val="000000"/>
          <w:sz w:val="24"/>
          <w:szCs w:val="24"/>
        </w:rPr>
        <w:t>FMV</w:t>
      </w:r>
      <w:r w:rsidR="0075097B" w:rsidRPr="0075097B">
        <w:rPr>
          <w:rFonts w:ascii="Arial" w:hAnsi="Arial" w:cs="Arial"/>
          <w:color w:val="000000"/>
          <w:sz w:val="24"/>
          <w:szCs w:val="24"/>
        </w:rPr>
        <w:t xml:space="preserve">.  Types of written verification of </w:t>
      </w:r>
      <w:r>
        <w:rPr>
          <w:rFonts w:ascii="Arial" w:hAnsi="Arial" w:cs="Arial"/>
          <w:color w:val="000000"/>
          <w:sz w:val="24"/>
          <w:szCs w:val="24"/>
        </w:rPr>
        <w:t xml:space="preserve">FMV </w:t>
      </w:r>
      <w:r w:rsidR="0075097B" w:rsidRPr="0075097B">
        <w:rPr>
          <w:rFonts w:ascii="Arial" w:hAnsi="Arial" w:cs="Arial"/>
          <w:color w:val="000000"/>
          <w:sz w:val="24"/>
          <w:szCs w:val="24"/>
        </w:rPr>
        <w:t>include, but are not limited to:</w:t>
      </w:r>
    </w:p>
    <w:p w14:paraId="78405202" w14:textId="77777777" w:rsidR="00552810" w:rsidRPr="0075097B" w:rsidRDefault="00552810" w:rsidP="00552810">
      <w:pPr>
        <w:pStyle w:val="NormalWeb"/>
        <w:spacing w:before="0" w:beforeAutospacing="0" w:after="0" w:afterAutospacing="0"/>
        <w:rPr>
          <w:color w:val="000000"/>
          <w:sz w:val="24"/>
          <w:szCs w:val="24"/>
        </w:rPr>
      </w:pPr>
    </w:p>
    <w:p w14:paraId="1E9C5220" w14:textId="4242D90F" w:rsidR="0075097B" w:rsidRPr="0075097B" w:rsidRDefault="0075097B" w:rsidP="00552810">
      <w:pPr>
        <w:numPr>
          <w:ilvl w:val="0"/>
          <w:numId w:val="12"/>
        </w:numPr>
        <w:tabs>
          <w:tab w:val="clear" w:pos="720"/>
          <w:tab w:val="num" w:pos="1080"/>
        </w:tabs>
        <w:spacing w:after="0" w:line="240" w:lineRule="auto"/>
        <w:ind w:left="1080"/>
        <w:rPr>
          <w:rFonts w:ascii="Arial" w:eastAsia="Times New Roman" w:hAnsi="Arial" w:cs="Arial"/>
          <w:color w:val="000000"/>
          <w:sz w:val="24"/>
          <w:szCs w:val="24"/>
        </w:rPr>
      </w:pPr>
      <w:r w:rsidRPr="0075097B">
        <w:rPr>
          <w:rFonts w:ascii="Arial" w:eastAsia="Times New Roman" w:hAnsi="Arial" w:cs="Arial"/>
          <w:color w:val="000000"/>
          <w:sz w:val="24"/>
          <w:szCs w:val="24"/>
        </w:rPr>
        <w:t>a signed statement from a third party such as a real estate appraiser</w:t>
      </w:r>
      <w:r w:rsidR="00CC5B7E">
        <w:rPr>
          <w:rFonts w:ascii="Arial" w:eastAsia="Times New Roman" w:hAnsi="Arial" w:cs="Arial"/>
          <w:color w:val="000000"/>
          <w:sz w:val="24"/>
          <w:szCs w:val="24"/>
        </w:rPr>
        <w:t>,</w:t>
      </w:r>
    </w:p>
    <w:p w14:paraId="6E076832" w14:textId="77777777" w:rsidR="0075097B" w:rsidRPr="0075097B" w:rsidRDefault="0075097B" w:rsidP="00552810">
      <w:pPr>
        <w:numPr>
          <w:ilvl w:val="0"/>
          <w:numId w:val="12"/>
        </w:numPr>
        <w:tabs>
          <w:tab w:val="clear" w:pos="720"/>
          <w:tab w:val="num" w:pos="1080"/>
        </w:tabs>
        <w:spacing w:after="0" w:line="240" w:lineRule="auto"/>
        <w:ind w:left="1080"/>
        <w:rPr>
          <w:rFonts w:ascii="Arial" w:eastAsia="Times New Roman" w:hAnsi="Arial" w:cs="Arial"/>
          <w:color w:val="000000"/>
          <w:sz w:val="24"/>
          <w:szCs w:val="24"/>
        </w:rPr>
      </w:pPr>
      <w:r w:rsidRPr="0075097B">
        <w:rPr>
          <w:rFonts w:ascii="Arial" w:eastAsia="Times New Roman" w:hAnsi="Arial" w:cs="Arial"/>
          <w:color w:val="000000"/>
          <w:sz w:val="24"/>
          <w:szCs w:val="24"/>
        </w:rPr>
        <w:t>a statement from a bank or mortgage lender, or</w:t>
      </w:r>
    </w:p>
    <w:p w14:paraId="2D352673" w14:textId="198DE79F" w:rsidR="0075097B" w:rsidRPr="0075097B" w:rsidRDefault="0075097B" w:rsidP="00552810">
      <w:pPr>
        <w:numPr>
          <w:ilvl w:val="0"/>
          <w:numId w:val="12"/>
        </w:numPr>
        <w:tabs>
          <w:tab w:val="clear" w:pos="720"/>
          <w:tab w:val="num" w:pos="1080"/>
        </w:tabs>
        <w:spacing w:after="0" w:line="240" w:lineRule="auto"/>
        <w:ind w:left="1080"/>
        <w:rPr>
          <w:rFonts w:ascii="Arial" w:eastAsia="Times New Roman" w:hAnsi="Arial" w:cs="Arial"/>
          <w:color w:val="000000"/>
          <w:sz w:val="24"/>
          <w:szCs w:val="24"/>
        </w:rPr>
      </w:pPr>
      <w:r w:rsidRPr="0075097B">
        <w:rPr>
          <w:rFonts w:ascii="Arial" w:eastAsia="Times New Roman" w:hAnsi="Arial" w:cs="Arial"/>
          <w:color w:val="000000"/>
          <w:sz w:val="24"/>
          <w:szCs w:val="24"/>
        </w:rPr>
        <w:t>a request for Financial Information (PA 76)</w:t>
      </w:r>
      <w:r w:rsidR="00CC5B7E">
        <w:rPr>
          <w:rFonts w:ascii="Arial" w:eastAsia="Times New Roman" w:hAnsi="Arial" w:cs="Arial"/>
          <w:color w:val="000000"/>
          <w:sz w:val="24"/>
          <w:szCs w:val="24"/>
        </w:rPr>
        <w:t>.</w:t>
      </w:r>
    </w:p>
    <w:p w14:paraId="79A2E4E2" w14:textId="77777777" w:rsidR="00552810" w:rsidRDefault="00552810" w:rsidP="00552810">
      <w:pPr>
        <w:spacing w:after="0" w:line="240" w:lineRule="auto"/>
        <w:rPr>
          <w:rFonts w:ascii="Arial" w:hAnsi="Arial" w:cs="Arial"/>
          <w:color w:val="000000"/>
          <w:sz w:val="24"/>
          <w:szCs w:val="24"/>
        </w:rPr>
      </w:pPr>
    </w:p>
    <w:p w14:paraId="6B10CCFC" w14:textId="5696FE34" w:rsidR="0075097B" w:rsidRPr="0075097B" w:rsidRDefault="0075097B" w:rsidP="00552810">
      <w:pPr>
        <w:spacing w:after="0" w:line="240" w:lineRule="auto"/>
        <w:rPr>
          <w:rFonts w:ascii="Arial" w:hAnsi="Arial" w:cs="Arial"/>
          <w:color w:val="000000"/>
          <w:sz w:val="24"/>
          <w:szCs w:val="24"/>
        </w:rPr>
      </w:pPr>
      <w:r w:rsidRPr="0075097B">
        <w:rPr>
          <w:rFonts w:ascii="Arial" w:hAnsi="Arial" w:cs="Arial"/>
          <w:color w:val="000000"/>
          <w:sz w:val="24"/>
          <w:szCs w:val="24"/>
        </w:rPr>
        <w:t xml:space="preserve">See the appropriate handbook chapter to review when residential and nonresidential property may be excluded: </w:t>
      </w:r>
      <w:r w:rsidR="008F036D">
        <w:rPr>
          <w:rFonts w:ascii="Arial" w:hAnsi="Arial" w:cs="Arial"/>
          <w:color w:val="000000"/>
          <w:sz w:val="24"/>
          <w:szCs w:val="24"/>
        </w:rPr>
        <w:t xml:space="preserve"> </w:t>
      </w:r>
      <w:r w:rsidRPr="0075097B">
        <w:rPr>
          <w:rFonts w:ascii="Arial" w:hAnsi="Arial" w:cs="Arial"/>
          <w:color w:val="000000"/>
          <w:sz w:val="24"/>
          <w:szCs w:val="24"/>
        </w:rPr>
        <w:t xml:space="preserve">CAH 140.62, MAEH </w:t>
      </w:r>
      <w:r w:rsidR="007E20D6">
        <w:rPr>
          <w:rFonts w:ascii="Arial" w:hAnsi="Arial" w:cs="Arial"/>
          <w:color w:val="000000"/>
          <w:sz w:val="24"/>
          <w:szCs w:val="24"/>
        </w:rPr>
        <w:t xml:space="preserve">312.18, </w:t>
      </w:r>
      <w:r w:rsidRPr="0075097B">
        <w:rPr>
          <w:rFonts w:ascii="Arial" w:hAnsi="Arial" w:cs="Arial"/>
          <w:color w:val="000000"/>
          <w:sz w:val="24"/>
          <w:szCs w:val="24"/>
        </w:rPr>
        <w:t>340.1</w:t>
      </w:r>
      <w:r w:rsidR="007E20D6">
        <w:rPr>
          <w:rFonts w:ascii="Arial" w:hAnsi="Arial" w:cs="Arial"/>
          <w:color w:val="000000"/>
          <w:sz w:val="24"/>
          <w:szCs w:val="24"/>
        </w:rPr>
        <w:t xml:space="preserve">, </w:t>
      </w:r>
      <w:r w:rsidRPr="0075097B">
        <w:rPr>
          <w:rFonts w:ascii="Arial" w:hAnsi="Arial" w:cs="Arial"/>
          <w:color w:val="000000"/>
          <w:sz w:val="24"/>
          <w:szCs w:val="24"/>
        </w:rPr>
        <w:t>340.8, SNAPH 540.5, and LTCH 440.42.</w:t>
      </w:r>
    </w:p>
    <w:p w14:paraId="22E69788" w14:textId="77777777" w:rsidR="007E20D6" w:rsidRDefault="007E20D6" w:rsidP="00B00E7D">
      <w:pPr>
        <w:spacing w:line="240" w:lineRule="auto"/>
        <w:rPr>
          <w:rFonts w:ascii="Arial" w:hAnsi="Arial" w:cs="Arial"/>
          <w:color w:val="000000"/>
          <w:sz w:val="24"/>
          <w:szCs w:val="24"/>
        </w:rPr>
      </w:pPr>
    </w:p>
    <w:p w14:paraId="3C2E326D" w14:textId="77777777" w:rsidR="0075097B" w:rsidRPr="0075097B" w:rsidRDefault="0075097B" w:rsidP="00B00E7D">
      <w:pPr>
        <w:spacing w:line="240" w:lineRule="auto"/>
        <w:rPr>
          <w:sz w:val="24"/>
          <w:szCs w:val="24"/>
        </w:rPr>
      </w:pPr>
    </w:p>
    <w:p w14:paraId="44DDD47D" w14:textId="18F16A9A" w:rsidR="005F5726" w:rsidRPr="0075097B" w:rsidRDefault="005F5726" w:rsidP="00B00E7D">
      <w:pPr>
        <w:spacing w:after="0" w:line="240" w:lineRule="auto"/>
        <w:rPr>
          <w:rFonts w:ascii="Arial" w:eastAsia="Times New Roman" w:hAnsi="Arial" w:cs="Arial"/>
          <w:sz w:val="24"/>
          <w:szCs w:val="24"/>
        </w:rPr>
      </w:pPr>
    </w:p>
    <w:sectPr w:rsidR="005F5726" w:rsidRPr="007509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B9B1" w14:textId="77777777" w:rsidR="001A58B0" w:rsidRDefault="001A58B0" w:rsidP="00E30ECE">
      <w:pPr>
        <w:spacing w:after="0" w:line="240" w:lineRule="auto"/>
      </w:pPr>
      <w:r>
        <w:separator/>
      </w:r>
    </w:p>
  </w:endnote>
  <w:endnote w:type="continuationSeparator" w:id="0">
    <w:p w14:paraId="2FBAF740" w14:textId="77777777" w:rsidR="001A58B0" w:rsidRDefault="001A58B0" w:rsidP="00E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14608"/>
      <w:docPartObj>
        <w:docPartGallery w:val="Page Numbers (Bottom of Page)"/>
        <w:docPartUnique/>
      </w:docPartObj>
    </w:sdtPr>
    <w:sdtEndPr>
      <w:rPr>
        <w:noProof/>
      </w:rPr>
    </w:sdtEndPr>
    <w:sdtContent>
      <w:p w14:paraId="380E875F" w14:textId="77777777" w:rsidR="00E30ECE" w:rsidRDefault="00E30ECE">
        <w:pPr>
          <w:pStyle w:val="Footer"/>
          <w:jc w:val="center"/>
        </w:pPr>
        <w:r>
          <w:fldChar w:fldCharType="begin"/>
        </w:r>
        <w:r>
          <w:instrText xml:space="preserve"> PAGE   \* MERGEFORMAT </w:instrText>
        </w:r>
        <w:r>
          <w:fldChar w:fldCharType="separate"/>
        </w:r>
        <w:r w:rsidR="008D0B09">
          <w:rPr>
            <w:noProof/>
          </w:rPr>
          <w:t>1</w:t>
        </w:r>
        <w:r>
          <w:rPr>
            <w:noProof/>
          </w:rPr>
          <w:fldChar w:fldCharType="end"/>
        </w:r>
      </w:p>
    </w:sdtContent>
  </w:sdt>
  <w:p w14:paraId="206C1A76" w14:textId="77777777" w:rsidR="00E30ECE" w:rsidRDefault="00E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DD18" w14:textId="77777777" w:rsidR="001A58B0" w:rsidRDefault="001A58B0" w:rsidP="00E30ECE">
      <w:pPr>
        <w:spacing w:after="0" w:line="240" w:lineRule="auto"/>
      </w:pPr>
      <w:r>
        <w:separator/>
      </w:r>
    </w:p>
  </w:footnote>
  <w:footnote w:type="continuationSeparator" w:id="0">
    <w:p w14:paraId="4CBA2F99" w14:textId="77777777" w:rsidR="001A58B0" w:rsidRDefault="001A58B0" w:rsidP="00E30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22B"/>
    <w:multiLevelType w:val="hybridMultilevel"/>
    <w:tmpl w:val="C2A0F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195363"/>
    <w:multiLevelType w:val="multilevel"/>
    <w:tmpl w:val="459E1E4E"/>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 w15:restartNumberingAfterBreak="0">
    <w:nsid w:val="19882073"/>
    <w:multiLevelType w:val="multilevel"/>
    <w:tmpl w:val="1F82306A"/>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7099F"/>
    <w:multiLevelType w:val="multilevel"/>
    <w:tmpl w:val="4FDE7674"/>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323696">
    <w:abstractNumId w:val="6"/>
  </w:num>
  <w:num w:numId="2" w16cid:durableId="81265743">
    <w:abstractNumId w:val="10"/>
  </w:num>
  <w:num w:numId="3" w16cid:durableId="211040845">
    <w:abstractNumId w:val="5"/>
  </w:num>
  <w:num w:numId="4" w16cid:durableId="1274828673">
    <w:abstractNumId w:val="4"/>
  </w:num>
  <w:num w:numId="5" w16cid:durableId="1897692423">
    <w:abstractNumId w:val="7"/>
  </w:num>
  <w:num w:numId="6" w16cid:durableId="1670795222">
    <w:abstractNumId w:val="8"/>
  </w:num>
  <w:num w:numId="7" w16cid:durableId="526719248">
    <w:abstractNumId w:val="2"/>
  </w:num>
  <w:num w:numId="8" w16cid:durableId="1063454450">
    <w:abstractNumId w:val="11"/>
  </w:num>
  <w:num w:numId="9" w16cid:durableId="859440455">
    <w:abstractNumId w:val="3"/>
  </w:num>
  <w:num w:numId="10" w16cid:durableId="228539723">
    <w:abstractNumId w:val="0"/>
  </w:num>
  <w:num w:numId="11" w16cid:durableId="1529830229">
    <w:abstractNumId w:val="9"/>
  </w:num>
  <w:num w:numId="12" w16cid:durableId="1115909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22356"/>
    <w:rsid w:val="000328F8"/>
    <w:rsid w:val="000554C4"/>
    <w:rsid w:val="000558BF"/>
    <w:rsid w:val="000653A9"/>
    <w:rsid w:val="000719D6"/>
    <w:rsid w:val="0009524A"/>
    <w:rsid w:val="000A20F4"/>
    <w:rsid w:val="000A5A70"/>
    <w:rsid w:val="000C48BD"/>
    <w:rsid w:val="000C55C2"/>
    <w:rsid w:val="000D11D6"/>
    <w:rsid w:val="000E14C9"/>
    <w:rsid w:val="000F3D8A"/>
    <w:rsid w:val="000F6C02"/>
    <w:rsid w:val="001155BB"/>
    <w:rsid w:val="001211B4"/>
    <w:rsid w:val="00173E4D"/>
    <w:rsid w:val="001A58B0"/>
    <w:rsid w:val="001C6766"/>
    <w:rsid w:val="001C73F0"/>
    <w:rsid w:val="001D34BE"/>
    <w:rsid w:val="001D3930"/>
    <w:rsid w:val="001D6FA8"/>
    <w:rsid w:val="001E41B7"/>
    <w:rsid w:val="00201779"/>
    <w:rsid w:val="00227BE9"/>
    <w:rsid w:val="0024051B"/>
    <w:rsid w:val="0025247A"/>
    <w:rsid w:val="0025687D"/>
    <w:rsid w:val="00270663"/>
    <w:rsid w:val="002A23BE"/>
    <w:rsid w:val="002C2B97"/>
    <w:rsid w:val="002F1B8E"/>
    <w:rsid w:val="002F402C"/>
    <w:rsid w:val="003050D0"/>
    <w:rsid w:val="003066C8"/>
    <w:rsid w:val="00313BD5"/>
    <w:rsid w:val="00314815"/>
    <w:rsid w:val="00335200"/>
    <w:rsid w:val="00335C06"/>
    <w:rsid w:val="003364A2"/>
    <w:rsid w:val="00340551"/>
    <w:rsid w:val="00353164"/>
    <w:rsid w:val="00370C8B"/>
    <w:rsid w:val="00372B62"/>
    <w:rsid w:val="00377C07"/>
    <w:rsid w:val="003A53CB"/>
    <w:rsid w:val="003B62FA"/>
    <w:rsid w:val="003D478C"/>
    <w:rsid w:val="003E2B82"/>
    <w:rsid w:val="003F5AE2"/>
    <w:rsid w:val="00400B4F"/>
    <w:rsid w:val="00415639"/>
    <w:rsid w:val="0042371E"/>
    <w:rsid w:val="00444B3F"/>
    <w:rsid w:val="00446A5D"/>
    <w:rsid w:val="004476DE"/>
    <w:rsid w:val="004518AF"/>
    <w:rsid w:val="00456ED0"/>
    <w:rsid w:val="004606E7"/>
    <w:rsid w:val="0047548C"/>
    <w:rsid w:val="004A2097"/>
    <w:rsid w:val="004B0277"/>
    <w:rsid w:val="004C0831"/>
    <w:rsid w:val="004E0A00"/>
    <w:rsid w:val="004E5F29"/>
    <w:rsid w:val="00526D5B"/>
    <w:rsid w:val="00527A30"/>
    <w:rsid w:val="00552810"/>
    <w:rsid w:val="00552C29"/>
    <w:rsid w:val="00555154"/>
    <w:rsid w:val="005642DE"/>
    <w:rsid w:val="0057127A"/>
    <w:rsid w:val="00571660"/>
    <w:rsid w:val="005C0BAC"/>
    <w:rsid w:val="005D6149"/>
    <w:rsid w:val="005F5726"/>
    <w:rsid w:val="006043C4"/>
    <w:rsid w:val="00623591"/>
    <w:rsid w:val="006254D8"/>
    <w:rsid w:val="006327EF"/>
    <w:rsid w:val="00642496"/>
    <w:rsid w:val="00674303"/>
    <w:rsid w:val="00684B2A"/>
    <w:rsid w:val="00695517"/>
    <w:rsid w:val="006B04FF"/>
    <w:rsid w:val="006C5E75"/>
    <w:rsid w:val="006F1020"/>
    <w:rsid w:val="00702640"/>
    <w:rsid w:val="007128B2"/>
    <w:rsid w:val="007168C1"/>
    <w:rsid w:val="00725523"/>
    <w:rsid w:val="007358AF"/>
    <w:rsid w:val="0074525D"/>
    <w:rsid w:val="00746565"/>
    <w:rsid w:val="00750167"/>
    <w:rsid w:val="0075097B"/>
    <w:rsid w:val="0076724D"/>
    <w:rsid w:val="00777DED"/>
    <w:rsid w:val="007B77B5"/>
    <w:rsid w:val="007E20D6"/>
    <w:rsid w:val="00807BCE"/>
    <w:rsid w:val="00814FCA"/>
    <w:rsid w:val="008354F8"/>
    <w:rsid w:val="008375D9"/>
    <w:rsid w:val="00851B46"/>
    <w:rsid w:val="0085354A"/>
    <w:rsid w:val="00863DD0"/>
    <w:rsid w:val="00866FFF"/>
    <w:rsid w:val="0088439A"/>
    <w:rsid w:val="00886594"/>
    <w:rsid w:val="008B084E"/>
    <w:rsid w:val="008C0512"/>
    <w:rsid w:val="008D0B09"/>
    <w:rsid w:val="008D2866"/>
    <w:rsid w:val="008D3B24"/>
    <w:rsid w:val="008F036D"/>
    <w:rsid w:val="008F1E1A"/>
    <w:rsid w:val="008F4ED0"/>
    <w:rsid w:val="009053CC"/>
    <w:rsid w:val="0090789B"/>
    <w:rsid w:val="00914A6D"/>
    <w:rsid w:val="009325D1"/>
    <w:rsid w:val="009347A0"/>
    <w:rsid w:val="009418F2"/>
    <w:rsid w:val="009472D9"/>
    <w:rsid w:val="009726E1"/>
    <w:rsid w:val="009855F5"/>
    <w:rsid w:val="009919ED"/>
    <w:rsid w:val="009B7040"/>
    <w:rsid w:val="009D1DB2"/>
    <w:rsid w:val="009F28D1"/>
    <w:rsid w:val="00A62B56"/>
    <w:rsid w:val="00A6644D"/>
    <w:rsid w:val="00A758FE"/>
    <w:rsid w:val="00A958F6"/>
    <w:rsid w:val="00AA1C6D"/>
    <w:rsid w:val="00AA70AF"/>
    <w:rsid w:val="00AB1B17"/>
    <w:rsid w:val="00AB4AEF"/>
    <w:rsid w:val="00AB5A9C"/>
    <w:rsid w:val="00AC4978"/>
    <w:rsid w:val="00AD1FA3"/>
    <w:rsid w:val="00B00E7D"/>
    <w:rsid w:val="00B120D1"/>
    <w:rsid w:val="00B57769"/>
    <w:rsid w:val="00B61360"/>
    <w:rsid w:val="00B61AB6"/>
    <w:rsid w:val="00B6603F"/>
    <w:rsid w:val="00B728EF"/>
    <w:rsid w:val="00B738C1"/>
    <w:rsid w:val="00B771F0"/>
    <w:rsid w:val="00B84884"/>
    <w:rsid w:val="00B97264"/>
    <w:rsid w:val="00BE433D"/>
    <w:rsid w:val="00BE6872"/>
    <w:rsid w:val="00C12EB2"/>
    <w:rsid w:val="00C17B5D"/>
    <w:rsid w:val="00C21C4D"/>
    <w:rsid w:val="00C343E3"/>
    <w:rsid w:val="00C519E0"/>
    <w:rsid w:val="00C52F3D"/>
    <w:rsid w:val="00C532C6"/>
    <w:rsid w:val="00C71360"/>
    <w:rsid w:val="00C87675"/>
    <w:rsid w:val="00C87903"/>
    <w:rsid w:val="00C932D1"/>
    <w:rsid w:val="00CA1862"/>
    <w:rsid w:val="00CB3C00"/>
    <w:rsid w:val="00CB6865"/>
    <w:rsid w:val="00CC3512"/>
    <w:rsid w:val="00CC5B7E"/>
    <w:rsid w:val="00CC6F61"/>
    <w:rsid w:val="00CC7B54"/>
    <w:rsid w:val="00CE1E12"/>
    <w:rsid w:val="00D12548"/>
    <w:rsid w:val="00D17830"/>
    <w:rsid w:val="00D23247"/>
    <w:rsid w:val="00D37C2F"/>
    <w:rsid w:val="00D613AA"/>
    <w:rsid w:val="00D63A62"/>
    <w:rsid w:val="00D64AB7"/>
    <w:rsid w:val="00D75DB4"/>
    <w:rsid w:val="00D80D1C"/>
    <w:rsid w:val="00DA42C2"/>
    <w:rsid w:val="00DB1366"/>
    <w:rsid w:val="00DC2763"/>
    <w:rsid w:val="00DD77D7"/>
    <w:rsid w:val="00DE2569"/>
    <w:rsid w:val="00DF357B"/>
    <w:rsid w:val="00E061EA"/>
    <w:rsid w:val="00E10057"/>
    <w:rsid w:val="00E1323B"/>
    <w:rsid w:val="00E1494B"/>
    <w:rsid w:val="00E17268"/>
    <w:rsid w:val="00E22299"/>
    <w:rsid w:val="00E26D21"/>
    <w:rsid w:val="00E30ECE"/>
    <w:rsid w:val="00E345E1"/>
    <w:rsid w:val="00E3732E"/>
    <w:rsid w:val="00E47F32"/>
    <w:rsid w:val="00E52CEF"/>
    <w:rsid w:val="00E73A91"/>
    <w:rsid w:val="00E91739"/>
    <w:rsid w:val="00E92B25"/>
    <w:rsid w:val="00E971D3"/>
    <w:rsid w:val="00ED0964"/>
    <w:rsid w:val="00ED5C4C"/>
    <w:rsid w:val="00EE6B41"/>
    <w:rsid w:val="00F016B1"/>
    <w:rsid w:val="00F02F62"/>
    <w:rsid w:val="00F104E5"/>
    <w:rsid w:val="00F42F42"/>
    <w:rsid w:val="00F46B77"/>
    <w:rsid w:val="00F8175A"/>
    <w:rsid w:val="00F83D43"/>
    <w:rsid w:val="00F92D50"/>
    <w:rsid w:val="00F951C8"/>
    <w:rsid w:val="00FA40B8"/>
    <w:rsid w:val="00FB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7C391A"/>
  <w15:docId w15:val="{42F92D2D-E325-4109-BC21-B707F2A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 w:type="character" w:styleId="UnresolvedMention">
    <w:name w:val="Unresolved Mention"/>
    <w:basedOn w:val="DefaultParagraphFont"/>
    <w:uiPriority w:val="99"/>
    <w:semiHidden/>
    <w:unhideWhenUsed/>
    <w:rsid w:val="00E17268"/>
    <w:rPr>
      <w:color w:val="605E5C"/>
      <w:shd w:val="clear" w:color="auto" w:fill="E1DFDD"/>
    </w:rPr>
  </w:style>
  <w:style w:type="paragraph" w:styleId="NormalWeb">
    <w:name w:val="Normal (Web)"/>
    <w:basedOn w:val="Normal"/>
    <w:uiPriority w:val="99"/>
    <w:semiHidden/>
    <w:unhideWhenUsed/>
    <w:rsid w:val="0075097B"/>
    <w:pPr>
      <w:spacing w:before="100" w:beforeAutospacing="1" w:after="100" w:afterAutospacing="1" w:line="240" w:lineRule="auto"/>
    </w:pPr>
    <w:rPr>
      <w:rFonts w:ascii="Calibri" w:hAnsi="Calibri" w:cs="Calibri"/>
    </w:rPr>
  </w:style>
  <w:style w:type="paragraph" w:customStyle="1" w:styleId="bodyindent4">
    <w:name w:val="bodyindent4"/>
    <w:basedOn w:val="Normal"/>
    <w:rsid w:val="00071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ample">
    <w:name w:val="example"/>
    <w:basedOn w:val="DefaultParagraphFont"/>
    <w:rsid w:val="00071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092817567">
      <w:bodyDiv w:val="1"/>
      <w:marLeft w:val="0"/>
      <w:marRight w:val="0"/>
      <w:marTop w:val="0"/>
      <w:marBottom w:val="0"/>
      <w:divBdr>
        <w:top w:val="none" w:sz="0" w:space="0" w:color="auto"/>
        <w:left w:val="none" w:sz="0" w:space="0" w:color="auto"/>
        <w:bottom w:val="none" w:sz="0" w:space="0" w:color="auto"/>
        <w:right w:val="none" w:sz="0" w:space="0" w:color="auto"/>
      </w:divBdr>
    </w:div>
    <w:div w:id="1757940142">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C849-9266-43AE-AF26-619733EC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439</Words>
  <Characters>2507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Garcia, Maria (DHS)</cp:lastModifiedBy>
  <cp:revision>2</cp:revision>
  <cp:lastPrinted>2014-04-30T18:27:00Z</cp:lastPrinted>
  <dcterms:created xsi:type="dcterms:W3CDTF">2024-08-02T15:44:00Z</dcterms:created>
  <dcterms:modified xsi:type="dcterms:W3CDTF">2024-08-02T15:44:00Z</dcterms:modified>
</cp:coreProperties>
</file>